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EB3" w:rsidRPr="00B047B1" w:rsidRDefault="00403EB3" w:rsidP="00403EB3">
      <w:pPr>
        <w:rPr>
          <w:color w:val="000000"/>
        </w:rPr>
      </w:pPr>
    </w:p>
    <w:p w:rsidR="00403EB3" w:rsidRPr="00B047B1" w:rsidRDefault="00403EB3" w:rsidP="00403EB3">
      <w:pPr>
        <w:ind w:left="1440" w:right="1440"/>
        <w:rPr>
          <w:color w:val="000000"/>
        </w:rPr>
      </w:pPr>
      <w:r w:rsidRPr="00B047B1">
        <w:rPr>
          <w:color w:val="000000"/>
        </w:rPr>
        <w:t>NOTICE OF PUBLIC HEARING TO CONSIDER APPROVAL OF A PROPOSED AMENDMENT NO. 3 TO THE SHUEYVILLE 2003 URBAN RENEWAL PLAN FOR AN URBAN RENEWAL AREA IN THE CITY OF SHUEYVILLE, STATE OF IOWA</w:t>
      </w:r>
    </w:p>
    <w:p w:rsidR="00403EB3" w:rsidRPr="00B047B1" w:rsidRDefault="00403EB3" w:rsidP="00403EB3">
      <w:pPr>
        <w:rPr>
          <w:color w:val="000000"/>
        </w:rPr>
      </w:pPr>
    </w:p>
    <w:p w:rsidR="00403EB3" w:rsidRPr="00B047B1" w:rsidRDefault="00403EB3" w:rsidP="00403EB3">
      <w:pPr>
        <w:ind w:firstLine="720"/>
        <w:rPr>
          <w:color w:val="000000"/>
        </w:rPr>
      </w:pPr>
      <w:r w:rsidRPr="00B047B1">
        <w:rPr>
          <w:color w:val="000000"/>
        </w:rPr>
        <w:t>The City Council of the City of Shueyville, State of Iowa, will hold a public hearing before itself at its meeting which commences at 6:30 P.M. on August 9, 2016 in the Council Chambers, Shueyville Community Center, 2863 120th Street NE, Swisher, IA, to consider adoption of a proposed Amendment No. 3 to the Shueyville 2003 Urban Renewal Plan (the "Amendment") concerning an Urban Renewal Area in the City of Shueyville, State of Iowa, legally described as follows:</w:t>
      </w:r>
    </w:p>
    <w:p w:rsidR="00403EB3" w:rsidRPr="00B047B1" w:rsidRDefault="00403EB3" w:rsidP="00403EB3">
      <w:pPr>
        <w:rPr>
          <w:color w:val="000000"/>
        </w:rPr>
      </w:pPr>
    </w:p>
    <w:p w:rsidR="00403EB3" w:rsidRPr="00B047B1" w:rsidRDefault="00403EB3" w:rsidP="00403EB3">
      <w:pPr>
        <w:spacing w:after="200" w:line="276" w:lineRule="auto"/>
        <w:ind w:left="720" w:right="720"/>
        <w:rPr>
          <w:color w:val="000000"/>
          <w:szCs w:val="22"/>
        </w:rPr>
      </w:pPr>
      <w:r w:rsidRPr="00B047B1">
        <w:rPr>
          <w:color w:val="000000"/>
          <w:szCs w:val="22"/>
        </w:rPr>
        <w:t>Curtis Bridge Road</w:t>
      </w:r>
    </w:p>
    <w:p w:rsidR="00403EB3" w:rsidRPr="00B047B1" w:rsidRDefault="00403EB3" w:rsidP="00403EB3">
      <w:pPr>
        <w:spacing w:after="200" w:line="276" w:lineRule="auto"/>
        <w:ind w:left="720" w:right="720"/>
        <w:rPr>
          <w:color w:val="000000"/>
          <w:szCs w:val="22"/>
        </w:rPr>
      </w:pPr>
      <w:r w:rsidRPr="00B047B1">
        <w:rPr>
          <w:color w:val="000000"/>
          <w:szCs w:val="22"/>
        </w:rPr>
        <w:t>The Southwesterly half of Curtis Bridge Road beginning at the City Limits of the City of Shueyville, Iowa, as established in 2003, being the Projected West line of that part of the Northeast Quarter and a part of the Southeast Quarter of Section 10, Township 81 North, Range 7 West of the Fifth Principal Meridian, in Johnson County, Iowa, as conveyed to Owner(s) in Warranty Deed Book 4046, Page 312-314, to the West line of the Southeast Quarter of the Northeast Quarter and the West Line of the Northeast Quarter of the Southeast Quarter, both in Section 10, Township 81 North, Range 7 West of the 5</w:t>
      </w:r>
      <w:r w:rsidRPr="00B047B1">
        <w:rPr>
          <w:color w:val="000000"/>
          <w:szCs w:val="22"/>
          <w:vertAlign w:val="superscript"/>
        </w:rPr>
        <w:t>th</w:t>
      </w:r>
      <w:r w:rsidRPr="00B047B1">
        <w:rPr>
          <w:color w:val="000000"/>
          <w:szCs w:val="22"/>
        </w:rPr>
        <w:t xml:space="preserve"> P.M., Johnson County, Iowa.</w:t>
      </w:r>
    </w:p>
    <w:p w:rsidR="00403EB3" w:rsidRPr="00B047B1" w:rsidRDefault="00403EB3" w:rsidP="00403EB3">
      <w:pPr>
        <w:spacing w:after="200" w:line="276" w:lineRule="auto"/>
        <w:ind w:left="720" w:right="720"/>
        <w:rPr>
          <w:color w:val="000000"/>
          <w:szCs w:val="22"/>
        </w:rPr>
      </w:pPr>
      <w:r w:rsidRPr="00B047B1">
        <w:rPr>
          <w:color w:val="000000"/>
          <w:szCs w:val="22"/>
        </w:rPr>
        <w:t>AND</w:t>
      </w:r>
    </w:p>
    <w:p w:rsidR="00403EB3" w:rsidRPr="00B047B1" w:rsidRDefault="00403EB3" w:rsidP="00403EB3">
      <w:pPr>
        <w:spacing w:after="200" w:line="276" w:lineRule="auto"/>
        <w:ind w:left="720" w:right="720"/>
        <w:rPr>
          <w:color w:val="000000"/>
          <w:szCs w:val="22"/>
        </w:rPr>
      </w:pPr>
      <w:r w:rsidRPr="00B047B1">
        <w:rPr>
          <w:color w:val="000000"/>
          <w:szCs w:val="22"/>
        </w:rPr>
        <w:t>All of Curtis Bridge Road beginning North line of the Southeast Quarter in Section 10, Township 81 North, Range 7 West of the 5</w:t>
      </w:r>
      <w:r w:rsidRPr="00B047B1">
        <w:rPr>
          <w:color w:val="000000"/>
          <w:szCs w:val="22"/>
          <w:vertAlign w:val="superscript"/>
        </w:rPr>
        <w:t>th</w:t>
      </w:r>
      <w:r w:rsidRPr="00B047B1">
        <w:rPr>
          <w:color w:val="000000"/>
          <w:szCs w:val="22"/>
        </w:rPr>
        <w:t xml:space="preserve"> P.M., Johnson County, Iowa to the projected North line of Auditor’s Parcel 2007102, Plat of Survey recorded in Plat Book 53, Page 26 of the Johnson County Records </w:t>
      </w:r>
    </w:p>
    <w:p w:rsidR="00403EB3" w:rsidRPr="00B047B1" w:rsidRDefault="00403EB3" w:rsidP="00403EB3">
      <w:pPr>
        <w:spacing w:after="200" w:line="276" w:lineRule="auto"/>
        <w:ind w:left="720" w:right="720"/>
        <w:rPr>
          <w:color w:val="000000"/>
          <w:szCs w:val="22"/>
        </w:rPr>
      </w:pPr>
      <w:r w:rsidRPr="00B047B1">
        <w:rPr>
          <w:color w:val="000000"/>
          <w:szCs w:val="22"/>
        </w:rPr>
        <w:t>AND</w:t>
      </w:r>
    </w:p>
    <w:p w:rsidR="00403EB3" w:rsidRPr="00B047B1" w:rsidRDefault="00403EB3" w:rsidP="00403EB3">
      <w:pPr>
        <w:spacing w:after="200" w:line="276" w:lineRule="auto"/>
        <w:ind w:left="720" w:right="720"/>
        <w:rPr>
          <w:color w:val="000000"/>
          <w:szCs w:val="22"/>
        </w:rPr>
      </w:pPr>
      <w:r w:rsidRPr="00B047B1">
        <w:rPr>
          <w:color w:val="000000"/>
          <w:szCs w:val="22"/>
        </w:rPr>
        <w:t>The Southwesterly half of Curtis Bridge Road from the projected North line of said Auditor’s Parcel 2007102 to the intersection of the centerline of Curtis Bridge Road and the West line of the Southwest Quarter of the Southwest Quarter of Section 11, Township 81 North, Range 7 West of the 5</w:t>
      </w:r>
      <w:r w:rsidRPr="00B047B1">
        <w:rPr>
          <w:color w:val="000000"/>
          <w:szCs w:val="22"/>
          <w:vertAlign w:val="superscript"/>
        </w:rPr>
        <w:t>th</w:t>
      </w:r>
      <w:r w:rsidRPr="00B047B1">
        <w:rPr>
          <w:color w:val="000000"/>
          <w:szCs w:val="22"/>
        </w:rPr>
        <w:t xml:space="preserve"> P.M., Johnson County, Iowa.</w:t>
      </w:r>
    </w:p>
    <w:p w:rsidR="00403EB3" w:rsidRPr="00B047B1" w:rsidRDefault="00403EB3" w:rsidP="00403EB3">
      <w:pPr>
        <w:rPr>
          <w:color w:val="000000"/>
        </w:rPr>
      </w:pPr>
      <w:proofErr w:type="gramStart"/>
      <w:r w:rsidRPr="00B047B1">
        <w:rPr>
          <w:color w:val="000000"/>
        </w:rPr>
        <w:t>which</w:t>
      </w:r>
      <w:proofErr w:type="gramEnd"/>
      <w:r w:rsidRPr="00B047B1">
        <w:rPr>
          <w:color w:val="000000"/>
        </w:rPr>
        <w:t xml:space="preserve"> land is to be included as part of this amended Urban Renewal Area.</w:t>
      </w:r>
    </w:p>
    <w:p w:rsidR="00403EB3" w:rsidRPr="00B047B1" w:rsidRDefault="00403EB3" w:rsidP="00403EB3">
      <w:pPr>
        <w:rPr>
          <w:color w:val="000000"/>
        </w:rPr>
      </w:pPr>
    </w:p>
    <w:p w:rsidR="00403EB3" w:rsidRPr="00B047B1" w:rsidRDefault="00403EB3" w:rsidP="00403EB3">
      <w:pPr>
        <w:ind w:firstLine="720"/>
        <w:rPr>
          <w:color w:val="000000"/>
        </w:rPr>
      </w:pPr>
      <w:r w:rsidRPr="00B047B1">
        <w:rPr>
          <w:color w:val="000000"/>
        </w:rPr>
        <w:t xml:space="preserve">A copy of the Amendment is on file for public inspection in the office of the City Clerk, </w:t>
      </w:r>
      <w:r w:rsidRPr="00B047B1">
        <w:rPr>
          <w:noProof/>
          <w:color w:val="000000"/>
        </w:rPr>
        <w:t xml:space="preserve">City Hall, </w:t>
      </w:r>
      <w:proofErr w:type="gramStart"/>
      <w:r w:rsidRPr="00B047B1">
        <w:rPr>
          <w:color w:val="000000"/>
        </w:rPr>
        <w:t>City</w:t>
      </w:r>
      <w:proofErr w:type="gramEnd"/>
      <w:r w:rsidRPr="00B047B1">
        <w:rPr>
          <w:color w:val="000000"/>
        </w:rPr>
        <w:t xml:space="preserve"> of Shueyville, Iowa.</w:t>
      </w:r>
    </w:p>
    <w:p w:rsidR="00403EB3" w:rsidRPr="00B047B1" w:rsidRDefault="00403EB3" w:rsidP="00403EB3">
      <w:pPr>
        <w:rPr>
          <w:color w:val="000000"/>
        </w:rPr>
      </w:pPr>
    </w:p>
    <w:p w:rsidR="00403EB3" w:rsidRPr="00B047B1" w:rsidRDefault="00403EB3" w:rsidP="00403EB3">
      <w:pPr>
        <w:ind w:firstLine="720"/>
        <w:rPr>
          <w:color w:val="000000"/>
        </w:rPr>
      </w:pPr>
      <w:r w:rsidRPr="00B047B1">
        <w:rPr>
          <w:color w:val="000000"/>
        </w:rPr>
        <w:lastRenderedPageBreak/>
        <w:t>The City of Shueyville, State of Iowa is the local public agency which, if such Amendment is approved, shall undertake the urban renewal activities described in such Amendment.</w:t>
      </w:r>
    </w:p>
    <w:p w:rsidR="00403EB3" w:rsidRPr="00B047B1" w:rsidRDefault="00403EB3" w:rsidP="00403EB3">
      <w:pPr>
        <w:rPr>
          <w:color w:val="000000"/>
        </w:rPr>
      </w:pPr>
    </w:p>
    <w:p w:rsidR="00403EB3" w:rsidRPr="00B047B1" w:rsidRDefault="00403EB3" w:rsidP="00403EB3">
      <w:pPr>
        <w:ind w:firstLine="720"/>
        <w:rPr>
          <w:color w:val="000000"/>
        </w:rPr>
      </w:pPr>
      <w:r w:rsidRPr="00B047B1">
        <w:rPr>
          <w:color w:val="000000"/>
        </w:rPr>
        <w:t>The general scope of the urban renewal activities under consideration in the Amendment is to promote the growth and retention of qualified industries and businesses in the Urban Renewal Area through various public purpose and special financing activities outlined in the Amendment.  The City also may reimburse or directly undertake the installation, construction and reconstruction of substantial public improvements, including, but not limited to, street, water, sanitary sewer, storm sewer or other public improvements.</w:t>
      </w:r>
      <w:r w:rsidRPr="00B047B1">
        <w:rPr>
          <w:noProof/>
          <w:color w:val="000000"/>
        </w:rPr>
        <w:t xml:space="preserve">  </w:t>
      </w:r>
      <w:r w:rsidRPr="00B047B1">
        <w:rPr>
          <w:color w:val="000000"/>
        </w:rPr>
        <w:t>The Amendment provides that the City may issue bonds or use available funds for purposes allowed by the Plan, as amended, and that tax increment reimbursement of the costs of urban renewal projects may be sought if and to the extent incurred by the City.  The Amendment initially proposes specific public infrastructure or site improvements to be undertaken by the City, and provides that the Amendment may be amended from time to time.</w:t>
      </w:r>
    </w:p>
    <w:p w:rsidR="00403EB3" w:rsidRPr="00B047B1" w:rsidRDefault="00403EB3" w:rsidP="00403EB3">
      <w:pPr>
        <w:rPr>
          <w:color w:val="000000"/>
        </w:rPr>
      </w:pPr>
    </w:p>
    <w:p w:rsidR="00403EB3" w:rsidRPr="00B047B1" w:rsidRDefault="00403EB3" w:rsidP="00403EB3">
      <w:pPr>
        <w:ind w:firstLine="720"/>
        <w:rPr>
          <w:color w:val="000000"/>
        </w:rPr>
      </w:pPr>
      <w:r w:rsidRPr="00B047B1">
        <w:rPr>
          <w:color w:val="000000"/>
        </w:rPr>
        <w:t>The proposed Amendment No. 3 would add additional land to the Urban Renewal Area, add and/or confirm the list of proposed projects to be undertaken within the Urban Renewal Area</w:t>
      </w:r>
      <w:r w:rsidRPr="00B047B1">
        <w:rPr>
          <w:color w:val="000000"/>
          <w:lang w:val="en-CA"/>
        </w:rPr>
        <w:fldChar w:fldCharType="begin"/>
      </w:r>
      <w:r w:rsidRPr="00B047B1">
        <w:rPr>
          <w:color w:val="000000"/>
          <w:lang w:val="en-CA"/>
        </w:rPr>
        <w:instrText xml:space="preserve"> SEQ CHAPTER \h \r 1</w:instrText>
      </w:r>
      <w:r w:rsidRPr="00B047B1">
        <w:rPr>
          <w:color w:val="000000"/>
          <w:lang w:val="en-CA"/>
        </w:rPr>
        <w:fldChar w:fldCharType="end"/>
      </w:r>
      <w:r w:rsidRPr="00B047B1">
        <w:rPr>
          <w:color w:val="000000"/>
          <w:lang w:val="en-CA"/>
        </w:rPr>
        <w:t xml:space="preserve">, and confirm the mixed designation resulting in an unlimited sunset in the entire Urban Renewal Area. </w:t>
      </w:r>
      <w:r w:rsidRPr="00B047B1">
        <w:rPr>
          <w:color w:val="000000"/>
        </w:rPr>
        <w:t>Other provisions of the Plan not affected by the Amendment would remain in full force and effect.</w:t>
      </w:r>
    </w:p>
    <w:p w:rsidR="00403EB3" w:rsidRPr="00B047B1" w:rsidRDefault="00403EB3" w:rsidP="00403EB3">
      <w:pPr>
        <w:rPr>
          <w:color w:val="000000"/>
        </w:rPr>
      </w:pPr>
    </w:p>
    <w:p w:rsidR="00403EB3" w:rsidRPr="00B047B1" w:rsidRDefault="00403EB3" w:rsidP="00403EB3">
      <w:pPr>
        <w:ind w:firstLine="720"/>
        <w:rPr>
          <w:color w:val="000000"/>
        </w:rPr>
      </w:pPr>
      <w:r w:rsidRPr="00B047B1">
        <w:rPr>
          <w:color w:val="000000"/>
        </w:rPr>
        <w:t>Any person or organization desiring to be heard shall be afforded an opportunity to be heard at such hearing.</w:t>
      </w:r>
    </w:p>
    <w:p w:rsidR="00403EB3" w:rsidRPr="00B047B1" w:rsidRDefault="00403EB3" w:rsidP="00403EB3">
      <w:pPr>
        <w:rPr>
          <w:color w:val="000000"/>
        </w:rPr>
      </w:pPr>
    </w:p>
    <w:p w:rsidR="00403EB3" w:rsidRPr="00B047B1" w:rsidRDefault="00403EB3" w:rsidP="00403EB3">
      <w:pPr>
        <w:ind w:firstLine="720"/>
        <w:rPr>
          <w:color w:val="000000"/>
        </w:rPr>
      </w:pPr>
      <w:r w:rsidRPr="00B047B1">
        <w:rPr>
          <w:color w:val="000000"/>
        </w:rPr>
        <w:t>This notice is given by order of the City Council of the City of Shueyville, State of Iowa, as provided by Section 403.5 of the Code of Iowa.</w:t>
      </w:r>
    </w:p>
    <w:p w:rsidR="00403EB3" w:rsidRPr="00B047B1" w:rsidRDefault="00403EB3" w:rsidP="00403EB3">
      <w:pPr>
        <w:ind w:firstLine="720"/>
        <w:rPr>
          <w:color w:val="000000"/>
        </w:rPr>
      </w:pPr>
    </w:p>
    <w:p w:rsidR="00403EB3" w:rsidRPr="00B047B1" w:rsidRDefault="00403EB3" w:rsidP="00403EB3">
      <w:pPr>
        <w:keepNext/>
        <w:ind w:firstLine="720"/>
        <w:rPr>
          <w:color w:val="000000"/>
        </w:rPr>
      </w:pPr>
      <w:proofErr w:type="gramStart"/>
      <w:r w:rsidRPr="00B047B1">
        <w:rPr>
          <w:color w:val="000000"/>
        </w:rPr>
        <w:t xml:space="preserve">Dated this </w:t>
      </w:r>
      <w:r w:rsidR="003D294A">
        <w:rPr>
          <w:color w:val="000000"/>
        </w:rPr>
        <w:t>1</w:t>
      </w:r>
      <w:r w:rsidR="00034B44">
        <w:rPr>
          <w:color w:val="000000"/>
        </w:rPr>
        <w:t>2th</w:t>
      </w:r>
      <w:r w:rsidRPr="00B047B1">
        <w:rPr>
          <w:color w:val="000000"/>
        </w:rPr>
        <w:t xml:space="preserve"> day of </w:t>
      </w:r>
      <w:r w:rsidR="00034B44">
        <w:rPr>
          <w:color w:val="000000"/>
        </w:rPr>
        <w:t>July</w:t>
      </w:r>
      <w:r w:rsidRPr="00B047B1">
        <w:rPr>
          <w:color w:val="000000"/>
        </w:rPr>
        <w:t>, 2016.</w:t>
      </w:r>
      <w:proofErr w:type="gramEnd"/>
    </w:p>
    <w:p w:rsidR="00403EB3" w:rsidRPr="00B047B1" w:rsidRDefault="00403EB3" w:rsidP="00403EB3">
      <w:pPr>
        <w:rPr>
          <w:color w:val="000000"/>
        </w:rPr>
      </w:pPr>
    </w:p>
    <w:tbl>
      <w:tblPr>
        <w:tblStyle w:val="TableGrid"/>
        <w:tblW w:w="9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90"/>
        <w:gridCol w:w="4718"/>
      </w:tblGrid>
      <w:tr w:rsidR="00403EB3" w:rsidRPr="00B047B1" w:rsidTr="00FA7244">
        <w:trPr>
          <w:cantSplit/>
        </w:trPr>
        <w:tc>
          <w:tcPr>
            <w:tcW w:w="4690" w:type="dxa"/>
          </w:tcPr>
          <w:p w:rsidR="00403EB3" w:rsidRPr="00B047B1" w:rsidRDefault="00403EB3" w:rsidP="00FA7244">
            <w:pPr>
              <w:pStyle w:val="Footer"/>
              <w:rPr>
                <w:color w:val="000000"/>
                <w:sz w:val="24"/>
                <w:shd w:val="clear" w:color="auto" w:fill="C0C0C0"/>
              </w:rPr>
            </w:pPr>
          </w:p>
        </w:tc>
        <w:tc>
          <w:tcPr>
            <w:tcW w:w="4718" w:type="dxa"/>
          </w:tcPr>
          <w:p w:rsidR="00403EB3" w:rsidRPr="00B047B1" w:rsidRDefault="00403EB3" w:rsidP="00FA7244">
            <w:pPr>
              <w:keepNext/>
              <w:keepLines/>
              <w:widowControl w:val="0"/>
              <w:tabs>
                <w:tab w:val="right" w:pos="4690"/>
              </w:tabs>
              <w:rPr>
                <w:color w:val="000000"/>
              </w:rPr>
            </w:pPr>
          </w:p>
          <w:p w:rsidR="00403EB3" w:rsidRPr="00B047B1" w:rsidRDefault="00403EB3" w:rsidP="00FA7244">
            <w:pPr>
              <w:keepNext/>
              <w:keepLines/>
              <w:widowControl w:val="0"/>
              <w:tabs>
                <w:tab w:val="right" w:pos="4690"/>
              </w:tabs>
              <w:rPr>
                <w:color w:val="000000"/>
              </w:rPr>
            </w:pPr>
          </w:p>
          <w:p w:rsidR="00403EB3" w:rsidRPr="00B047B1" w:rsidRDefault="00403EB3" w:rsidP="00FA7244">
            <w:pPr>
              <w:keepNext/>
              <w:keepLines/>
              <w:widowControl w:val="0"/>
              <w:tabs>
                <w:tab w:val="right" w:pos="4690"/>
              </w:tabs>
              <w:rPr>
                <w:color w:val="000000"/>
              </w:rPr>
            </w:pPr>
          </w:p>
          <w:p w:rsidR="00403EB3" w:rsidRPr="00B047B1" w:rsidRDefault="001B5BD1" w:rsidP="00FA7244">
            <w:pPr>
              <w:keepNext/>
              <w:keepLines/>
              <w:widowControl w:val="0"/>
              <w:tabs>
                <w:tab w:val="right" w:pos="4690"/>
              </w:tabs>
              <w:rPr>
                <w:color w:val="000000"/>
                <w:u w:val="single"/>
              </w:rPr>
            </w:pPr>
            <w:r>
              <w:rPr>
                <w:color w:val="000000"/>
                <w:u w:val="single"/>
              </w:rPr>
              <w:t>Teresa Eadie</w:t>
            </w:r>
            <w:bookmarkStart w:id="0" w:name="_GoBack"/>
            <w:bookmarkEnd w:id="0"/>
            <w:r w:rsidR="00403EB3" w:rsidRPr="00B047B1">
              <w:rPr>
                <w:color w:val="000000"/>
                <w:u w:val="single"/>
              </w:rPr>
              <w:tab/>
            </w:r>
          </w:p>
          <w:p w:rsidR="00403EB3" w:rsidRPr="00B047B1" w:rsidRDefault="00403EB3" w:rsidP="00FA7244">
            <w:pPr>
              <w:keepNext/>
              <w:keepLines/>
              <w:widowControl w:val="0"/>
              <w:tabs>
                <w:tab w:val="right" w:pos="4690"/>
              </w:tabs>
              <w:rPr>
                <w:color w:val="000000"/>
                <w:shd w:val="clear" w:color="auto" w:fill="C0C0C0"/>
              </w:rPr>
            </w:pPr>
            <w:r w:rsidRPr="00B047B1">
              <w:rPr>
                <w:color w:val="000000"/>
              </w:rPr>
              <w:t>City Clerk, City of Shueyville, State of Iowa</w:t>
            </w:r>
          </w:p>
        </w:tc>
      </w:tr>
      <w:tr w:rsidR="00034B44" w:rsidRPr="00B047B1" w:rsidTr="00FA7244">
        <w:trPr>
          <w:cantSplit/>
        </w:trPr>
        <w:tc>
          <w:tcPr>
            <w:tcW w:w="4690" w:type="dxa"/>
          </w:tcPr>
          <w:p w:rsidR="00034B44" w:rsidRPr="00B047B1" w:rsidRDefault="00034B44" w:rsidP="00034B44">
            <w:pPr>
              <w:pStyle w:val="Footer"/>
              <w:jc w:val="left"/>
              <w:rPr>
                <w:color w:val="000000"/>
                <w:sz w:val="24"/>
                <w:shd w:val="clear" w:color="auto" w:fill="C0C0C0"/>
              </w:rPr>
            </w:pPr>
          </w:p>
        </w:tc>
        <w:tc>
          <w:tcPr>
            <w:tcW w:w="4718" w:type="dxa"/>
          </w:tcPr>
          <w:p w:rsidR="00034B44" w:rsidRPr="00B047B1" w:rsidRDefault="00034B44" w:rsidP="00FA7244">
            <w:pPr>
              <w:keepNext/>
              <w:keepLines/>
              <w:widowControl w:val="0"/>
              <w:tabs>
                <w:tab w:val="right" w:pos="4690"/>
              </w:tabs>
              <w:rPr>
                <w:color w:val="000000"/>
              </w:rPr>
            </w:pPr>
          </w:p>
        </w:tc>
      </w:tr>
    </w:tbl>
    <w:p w:rsidR="00403EB3" w:rsidRPr="00B047B1" w:rsidRDefault="00403EB3" w:rsidP="00403EB3">
      <w:pPr>
        <w:ind w:right="-6"/>
        <w:rPr>
          <w:color w:val="000000"/>
        </w:rPr>
      </w:pPr>
    </w:p>
    <w:p w:rsidR="002E5A4F" w:rsidRDefault="002E5A4F"/>
    <w:sectPr w:rsidR="002E5A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44" w:rsidRDefault="000B5044" w:rsidP="00391A0A">
      <w:r>
        <w:separator/>
      </w:r>
    </w:p>
  </w:endnote>
  <w:endnote w:type="continuationSeparator" w:id="0">
    <w:p w:rsidR="000B5044" w:rsidRDefault="000B5044" w:rsidP="0039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0A" w:rsidRDefault="00391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0A" w:rsidRDefault="00391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0A" w:rsidRDefault="00391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44" w:rsidRDefault="000B5044" w:rsidP="00391A0A">
      <w:r>
        <w:separator/>
      </w:r>
    </w:p>
  </w:footnote>
  <w:footnote w:type="continuationSeparator" w:id="0">
    <w:p w:rsidR="000B5044" w:rsidRDefault="000B5044" w:rsidP="00391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0A" w:rsidRDefault="00391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0A" w:rsidRDefault="00391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0A" w:rsidRDefault="00391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B3"/>
    <w:rsid w:val="00022B21"/>
    <w:rsid w:val="00034B44"/>
    <w:rsid w:val="000B5044"/>
    <w:rsid w:val="00113A1A"/>
    <w:rsid w:val="001B5BD1"/>
    <w:rsid w:val="001B7641"/>
    <w:rsid w:val="002C2865"/>
    <w:rsid w:val="002E5A4F"/>
    <w:rsid w:val="00391A0A"/>
    <w:rsid w:val="003D294A"/>
    <w:rsid w:val="003F4523"/>
    <w:rsid w:val="00403EB3"/>
    <w:rsid w:val="006F3AAC"/>
    <w:rsid w:val="00937A39"/>
    <w:rsid w:val="00A1539F"/>
    <w:rsid w:val="00A619BA"/>
    <w:rsid w:val="00EA4299"/>
    <w:rsid w:val="00F6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B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C2865"/>
    <w:pPr>
      <w:framePr w:w="7920" w:h="1980" w:hRule="exact" w:hSpace="180" w:wrap="auto" w:hAnchor="page" w:xAlign="center" w:yAlign="bottom"/>
      <w:ind w:left="2880"/>
    </w:pPr>
    <w:rPr>
      <w:rFonts w:eastAsiaTheme="majorEastAsia" w:cstheme="majorBidi"/>
    </w:rPr>
  </w:style>
  <w:style w:type="table" w:styleId="TableGrid">
    <w:name w:val="Table Grid"/>
    <w:basedOn w:val="TableNormal"/>
    <w:rsid w:val="00403EB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03EB3"/>
    <w:pPr>
      <w:tabs>
        <w:tab w:val="center" w:pos="4320"/>
        <w:tab w:val="right" w:pos="8640"/>
      </w:tabs>
      <w:jc w:val="center"/>
    </w:pPr>
    <w:rPr>
      <w:sz w:val="26"/>
    </w:rPr>
  </w:style>
  <w:style w:type="character" w:customStyle="1" w:styleId="FooterChar">
    <w:name w:val="Footer Char"/>
    <w:basedOn w:val="DefaultParagraphFont"/>
    <w:link w:val="Footer"/>
    <w:uiPriority w:val="99"/>
    <w:rsid w:val="00403EB3"/>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391A0A"/>
    <w:pPr>
      <w:tabs>
        <w:tab w:val="center" w:pos="4680"/>
        <w:tab w:val="right" w:pos="9360"/>
      </w:tabs>
    </w:pPr>
  </w:style>
  <w:style w:type="character" w:customStyle="1" w:styleId="HeaderChar">
    <w:name w:val="Header Char"/>
    <w:basedOn w:val="DefaultParagraphFont"/>
    <w:link w:val="Header"/>
    <w:uiPriority w:val="99"/>
    <w:rsid w:val="00391A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B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C2865"/>
    <w:pPr>
      <w:framePr w:w="7920" w:h="1980" w:hRule="exact" w:hSpace="180" w:wrap="auto" w:hAnchor="page" w:xAlign="center" w:yAlign="bottom"/>
      <w:ind w:left="2880"/>
    </w:pPr>
    <w:rPr>
      <w:rFonts w:eastAsiaTheme="majorEastAsia" w:cstheme="majorBidi"/>
    </w:rPr>
  </w:style>
  <w:style w:type="table" w:styleId="TableGrid">
    <w:name w:val="Table Grid"/>
    <w:basedOn w:val="TableNormal"/>
    <w:rsid w:val="00403EB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03EB3"/>
    <w:pPr>
      <w:tabs>
        <w:tab w:val="center" w:pos="4320"/>
        <w:tab w:val="right" w:pos="8640"/>
      </w:tabs>
      <w:jc w:val="center"/>
    </w:pPr>
    <w:rPr>
      <w:sz w:val="26"/>
    </w:rPr>
  </w:style>
  <w:style w:type="character" w:customStyle="1" w:styleId="FooterChar">
    <w:name w:val="Footer Char"/>
    <w:basedOn w:val="DefaultParagraphFont"/>
    <w:link w:val="Footer"/>
    <w:uiPriority w:val="99"/>
    <w:rsid w:val="00403EB3"/>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391A0A"/>
    <w:pPr>
      <w:tabs>
        <w:tab w:val="center" w:pos="4680"/>
        <w:tab w:val="right" w:pos="9360"/>
      </w:tabs>
    </w:pPr>
  </w:style>
  <w:style w:type="character" w:customStyle="1" w:styleId="HeaderChar">
    <w:name w:val="Header Char"/>
    <w:basedOn w:val="DefaultParagraphFont"/>
    <w:link w:val="Header"/>
    <w:uiPriority w:val="99"/>
    <w:rsid w:val="00391A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3432</Characters>
  <Application>Microsoft Office Word</Application>
  <DocSecurity>0</DocSecurity>
  <PresentationFormat/>
  <Lines>28</Lines>
  <Paragraphs>8</Paragraphs>
  <ScaleCrop>false</ScaleCrop>
  <HeadingPairs>
    <vt:vector size="2" baseType="variant">
      <vt:variant>
        <vt:lpstr>Title</vt:lpstr>
      </vt:variant>
      <vt:variant>
        <vt:i4>1</vt:i4>
      </vt:variant>
    </vt:vector>
  </HeadingPairs>
  <TitlesOfParts>
    <vt:vector size="1" baseType="lpstr">
      <vt:lpstr>01257022-1</vt:lpstr>
    </vt:vector>
  </TitlesOfParts>
  <Company>Hewlett-Packard Company</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01257022-1</dc:title>
  <dc:creator>Melissa Pearson</dc:creator>
  <cp:lastModifiedBy>City Clerk</cp:lastModifiedBy>
  <cp:revision>5</cp:revision>
  <cp:lastPrinted>2016-07-21T18:22:00Z</cp:lastPrinted>
  <dcterms:created xsi:type="dcterms:W3CDTF">2016-07-21T17:30:00Z</dcterms:created>
  <dcterms:modified xsi:type="dcterms:W3CDTF">2016-07-21T18:22:00Z</dcterms:modified>
</cp:coreProperties>
</file>